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E61DD4" w:rsidRDefault="009017B5" w:rsidP="00E61DD4">
      <w:pPr>
        <w:spacing w:line="480" w:lineRule="auto"/>
        <w:jc w:val="both"/>
        <w:rPr>
          <w:rFonts w:ascii="Times New Roman" w:hAnsi="Times New Roman" w:cs="Times New Roman"/>
          <w:sz w:val="24"/>
          <w:szCs w:val="24"/>
          <w:shd w:val="clear" w:color="auto" w:fill="FFFFFF"/>
        </w:rPr>
      </w:pPr>
    </w:p>
    <w:p w:rsidR="009017B5" w:rsidRPr="00E61DD4" w:rsidRDefault="009017B5" w:rsidP="00E61DD4">
      <w:pPr>
        <w:spacing w:line="480" w:lineRule="auto"/>
        <w:jc w:val="both"/>
        <w:rPr>
          <w:rFonts w:ascii="Times New Roman" w:hAnsi="Times New Roman" w:cs="Times New Roman"/>
          <w:sz w:val="24"/>
          <w:szCs w:val="24"/>
          <w:shd w:val="clear" w:color="auto" w:fill="FFFFFF"/>
        </w:rPr>
      </w:pPr>
    </w:p>
    <w:p w:rsidR="009017B5" w:rsidRPr="00E61DD4" w:rsidRDefault="009017B5" w:rsidP="00E61DD4">
      <w:pPr>
        <w:spacing w:line="480" w:lineRule="auto"/>
        <w:jc w:val="both"/>
        <w:rPr>
          <w:rFonts w:ascii="Times New Roman" w:hAnsi="Times New Roman" w:cs="Times New Roman"/>
          <w:sz w:val="24"/>
          <w:szCs w:val="24"/>
          <w:shd w:val="clear" w:color="auto" w:fill="FFFFFF"/>
        </w:rPr>
      </w:pPr>
    </w:p>
    <w:p w:rsidR="009017B5" w:rsidRPr="00E61DD4" w:rsidRDefault="009017B5" w:rsidP="00E61DD4">
      <w:pPr>
        <w:spacing w:line="480" w:lineRule="auto"/>
        <w:jc w:val="both"/>
        <w:rPr>
          <w:rFonts w:ascii="Times New Roman" w:hAnsi="Times New Roman" w:cs="Times New Roman"/>
          <w:sz w:val="24"/>
          <w:szCs w:val="24"/>
          <w:shd w:val="clear" w:color="auto" w:fill="FFFFFF"/>
        </w:rPr>
      </w:pPr>
    </w:p>
    <w:p w:rsidR="009017B5" w:rsidRPr="00E61DD4" w:rsidRDefault="009017B5" w:rsidP="00E61DD4">
      <w:pPr>
        <w:spacing w:line="480" w:lineRule="auto"/>
        <w:jc w:val="both"/>
        <w:rPr>
          <w:rFonts w:ascii="Times New Roman" w:hAnsi="Times New Roman" w:cs="Times New Roman"/>
          <w:sz w:val="24"/>
          <w:szCs w:val="24"/>
          <w:shd w:val="clear" w:color="auto" w:fill="FFFFFF"/>
        </w:rPr>
      </w:pPr>
    </w:p>
    <w:p w:rsidR="009017B5" w:rsidRPr="00E61DD4" w:rsidRDefault="009017B5" w:rsidP="00E61DD4">
      <w:pPr>
        <w:spacing w:line="480" w:lineRule="auto"/>
        <w:jc w:val="both"/>
        <w:rPr>
          <w:rFonts w:ascii="Times New Roman" w:hAnsi="Times New Roman" w:cs="Times New Roman"/>
          <w:sz w:val="24"/>
          <w:szCs w:val="24"/>
          <w:shd w:val="clear" w:color="auto" w:fill="FFFFFF"/>
        </w:rPr>
      </w:pPr>
    </w:p>
    <w:p w:rsidR="009017B5" w:rsidRPr="00E61DD4" w:rsidRDefault="009017B5" w:rsidP="00E61DD4">
      <w:pPr>
        <w:spacing w:line="480" w:lineRule="auto"/>
        <w:jc w:val="both"/>
        <w:rPr>
          <w:rFonts w:ascii="Times New Roman" w:hAnsi="Times New Roman" w:cs="Times New Roman"/>
          <w:sz w:val="24"/>
          <w:szCs w:val="24"/>
          <w:shd w:val="clear" w:color="auto" w:fill="FFFFFF"/>
        </w:rPr>
      </w:pPr>
    </w:p>
    <w:p w:rsidR="00E61DD4" w:rsidRDefault="00E61DD4" w:rsidP="00E61DD4">
      <w:pPr>
        <w:pStyle w:val="BodyA"/>
        <w:spacing w:line="480" w:lineRule="auto"/>
        <w:jc w:val="center"/>
        <w:rPr>
          <w:rFonts w:ascii="Times New Roman" w:eastAsiaTheme="minorHAnsi" w:hAnsi="Times New Roman" w:cs="Times New Roman"/>
          <w:color w:val="222222"/>
          <w:bdr w:val="none" w:sz="0" w:space="0" w:color="auto"/>
          <w:shd w:val="clear" w:color="auto" w:fill="FFFFFF"/>
        </w:rPr>
      </w:pPr>
      <w:r w:rsidRPr="00E61DD4">
        <w:rPr>
          <w:rFonts w:ascii="Times New Roman" w:eastAsiaTheme="minorHAnsi" w:hAnsi="Times New Roman" w:cs="Times New Roman"/>
          <w:color w:val="222222"/>
          <w:bdr w:val="none" w:sz="0" w:space="0" w:color="auto"/>
          <w:shd w:val="clear" w:color="auto" w:fill="FFFFFF"/>
        </w:rPr>
        <w:t>Annotated Bibliography</w:t>
      </w:r>
    </w:p>
    <w:p w:rsidR="0097726B" w:rsidRPr="00E61DD4" w:rsidRDefault="0097726B" w:rsidP="00E61DD4">
      <w:pPr>
        <w:spacing w:line="480" w:lineRule="auto"/>
        <w:jc w:val="center"/>
        <w:rPr>
          <w:rFonts w:ascii="Times New Roman" w:hAnsi="Times New Roman" w:cs="Times New Roman"/>
          <w:sz w:val="24"/>
          <w:szCs w:val="24"/>
          <w:shd w:val="clear" w:color="auto" w:fill="FFFFFF"/>
        </w:rPr>
      </w:pPr>
      <w:r w:rsidRPr="00E61DD4">
        <w:rPr>
          <w:rFonts w:ascii="Times New Roman" w:hAnsi="Times New Roman" w:cs="Times New Roman"/>
          <w:sz w:val="24"/>
          <w:szCs w:val="24"/>
          <w:lang w:val="en-GB"/>
        </w:rPr>
        <w:t>Name</w:t>
      </w:r>
    </w:p>
    <w:p w:rsidR="0097726B" w:rsidRPr="00E61DD4" w:rsidRDefault="005135C6" w:rsidP="00E61DD4">
      <w:pPr>
        <w:spacing w:line="480" w:lineRule="auto"/>
        <w:jc w:val="center"/>
        <w:rPr>
          <w:rFonts w:ascii="Times New Roman" w:hAnsi="Times New Roman" w:cs="Times New Roman"/>
          <w:sz w:val="24"/>
          <w:szCs w:val="24"/>
          <w:shd w:val="clear" w:color="auto" w:fill="FFFFFF"/>
        </w:rPr>
      </w:pPr>
      <w:r w:rsidRPr="00E61DD4">
        <w:rPr>
          <w:rFonts w:ascii="Times New Roman" w:hAnsi="Times New Roman" w:cs="Times New Roman"/>
          <w:sz w:val="24"/>
          <w:szCs w:val="24"/>
          <w:lang w:val="en-GB"/>
        </w:rPr>
        <w:t>Institutional Affiliation</w:t>
      </w:r>
    </w:p>
    <w:p w:rsidR="00D417A0" w:rsidRPr="00E61DD4" w:rsidRDefault="00D417A0" w:rsidP="00E61DD4">
      <w:pPr>
        <w:spacing w:line="480" w:lineRule="auto"/>
        <w:rPr>
          <w:rFonts w:ascii="Times New Roman" w:hAnsi="Times New Roman" w:cs="Times New Roman"/>
          <w:sz w:val="24"/>
          <w:szCs w:val="24"/>
          <w:lang w:val="en-GB"/>
        </w:rPr>
      </w:pPr>
      <w:r w:rsidRPr="00E61DD4">
        <w:rPr>
          <w:rFonts w:ascii="Times New Roman" w:hAnsi="Times New Roman" w:cs="Times New Roman"/>
          <w:sz w:val="24"/>
          <w:szCs w:val="24"/>
          <w:lang w:val="en-GB"/>
        </w:rPr>
        <w:br w:type="page"/>
      </w:r>
    </w:p>
    <w:p w:rsidR="00E61DD4" w:rsidRDefault="00E61DD4" w:rsidP="00E61DD4">
      <w:pPr>
        <w:pStyle w:val="BodyA"/>
        <w:spacing w:line="480" w:lineRule="auto"/>
        <w:jc w:val="center"/>
        <w:rPr>
          <w:rFonts w:ascii="Times New Roman" w:eastAsiaTheme="minorHAnsi" w:hAnsi="Times New Roman" w:cs="Times New Roman"/>
          <w:color w:val="222222"/>
          <w:bdr w:val="none" w:sz="0" w:space="0" w:color="auto"/>
          <w:shd w:val="clear" w:color="auto" w:fill="FFFFFF"/>
        </w:rPr>
      </w:pPr>
      <w:r w:rsidRPr="00E61DD4">
        <w:rPr>
          <w:rFonts w:ascii="Times New Roman" w:eastAsiaTheme="minorHAnsi" w:hAnsi="Times New Roman" w:cs="Times New Roman"/>
          <w:color w:val="222222"/>
          <w:bdr w:val="none" w:sz="0" w:space="0" w:color="auto"/>
          <w:shd w:val="clear" w:color="auto" w:fill="FFFFFF"/>
        </w:rPr>
        <w:lastRenderedPageBreak/>
        <w:t>Annotated Bibliography</w:t>
      </w:r>
    </w:p>
    <w:p w:rsidR="000F1929" w:rsidRDefault="00E61DD4" w:rsidP="000F1929">
      <w:pPr>
        <w:pStyle w:val="BodyA"/>
        <w:spacing w:line="480" w:lineRule="auto"/>
        <w:rPr>
          <w:rStyle w:val="None"/>
          <w:rFonts w:ascii="Times New Roman" w:hAnsi="Times New Roman" w:cs="Times New Roman"/>
        </w:rPr>
      </w:pPr>
      <w:r w:rsidRPr="00E61DD4">
        <w:rPr>
          <w:rStyle w:val="None"/>
          <w:rFonts w:ascii="Times New Roman" w:hAnsi="Times New Roman" w:cs="Times New Roman"/>
        </w:rPr>
        <w:t>Countryman, June. (2014). Missteps, flaws, and morphings in children</w:t>
      </w:r>
      <w:r w:rsidRPr="00E61DD4">
        <w:rPr>
          <w:rFonts w:ascii="Times New Roman" w:hAnsi="Times New Roman" w:cs="Times New Roman"/>
        </w:rPr>
        <w:t>’</w:t>
      </w:r>
      <w:r w:rsidRPr="00E61DD4">
        <w:rPr>
          <w:rStyle w:val="None"/>
          <w:rFonts w:ascii="Times New Roman" w:hAnsi="Times New Roman" w:cs="Times New Roman"/>
        </w:rPr>
        <w:t xml:space="preserve">s musical play: </w:t>
      </w:r>
    </w:p>
    <w:p w:rsidR="00E61DD4" w:rsidRPr="00E61DD4" w:rsidRDefault="00E61DD4" w:rsidP="000F1929">
      <w:pPr>
        <w:pStyle w:val="BodyA"/>
        <w:spacing w:line="480" w:lineRule="auto"/>
        <w:ind w:left="720"/>
        <w:rPr>
          <w:rFonts w:ascii="Times New Roman" w:eastAsia="Times New Roman" w:hAnsi="Times New Roman" w:cs="Times New Roman"/>
        </w:rPr>
      </w:pPr>
      <w:r w:rsidRPr="00E61DD4">
        <w:rPr>
          <w:rStyle w:val="None"/>
          <w:rFonts w:ascii="Times New Roman" w:hAnsi="Times New Roman" w:cs="Times New Roman"/>
        </w:rPr>
        <w:t>Snapshots from school playgrounds. Research Studies in Music Education,</w:t>
      </w:r>
      <w:r w:rsidRPr="00E61DD4">
        <w:rPr>
          <w:rFonts w:ascii="Times New Roman" w:hAnsi="Times New Roman" w:cs="Times New Roman"/>
        </w:rPr>
        <w:t xml:space="preserve"> 36(1), 3–18.</w:t>
      </w:r>
      <w:hyperlink r:id="rId8" w:history="1">
        <w:r w:rsidRPr="00E61DD4">
          <w:rPr>
            <w:rStyle w:val="Hyperlink1"/>
            <w:rFonts w:ascii="Times New Roman" w:hAnsi="Times New Roman" w:cs="Times New Roman"/>
          </w:rPr>
          <w:t>http://dx.doi.org.ezproxy.libraries.wright.edu/10.1177/1321103X14528456</w:t>
        </w:r>
      </w:hyperlink>
    </w:p>
    <w:p w:rsidR="00E61DD4" w:rsidRPr="00E61DD4" w:rsidRDefault="00E61DD4" w:rsidP="00E61DD4">
      <w:pPr>
        <w:spacing w:line="480" w:lineRule="auto"/>
        <w:ind w:firstLine="720"/>
        <w:rPr>
          <w:rFonts w:ascii="Times New Roman" w:hAnsi="Times New Roman" w:cs="Times New Roman"/>
          <w:sz w:val="24"/>
          <w:szCs w:val="24"/>
        </w:rPr>
      </w:pPr>
      <w:r w:rsidRPr="00E61DD4">
        <w:rPr>
          <w:rFonts w:ascii="Times New Roman" w:hAnsi="Times New Roman" w:cs="Times New Roman"/>
          <w:sz w:val="24"/>
          <w:szCs w:val="24"/>
        </w:rPr>
        <w:t xml:space="preserve">This study is based upon children's musical play. According to the author, musical play is an essential </w:t>
      </w:r>
      <w:r w:rsidR="007D6DC5" w:rsidRPr="00E61DD4">
        <w:rPr>
          <w:rFonts w:ascii="Times New Roman" w:hAnsi="Times New Roman" w:cs="Times New Roman"/>
          <w:sz w:val="24"/>
          <w:szCs w:val="24"/>
        </w:rPr>
        <w:t>reserve</w:t>
      </w:r>
      <w:r w:rsidRPr="00E61DD4">
        <w:rPr>
          <w:rFonts w:ascii="Times New Roman" w:hAnsi="Times New Roman" w:cs="Times New Roman"/>
          <w:sz w:val="24"/>
          <w:szCs w:val="24"/>
        </w:rPr>
        <w:t xml:space="preserve"> for social interactions and self-definition among children. Often children learn about the musical play by observing their peers on the </w:t>
      </w:r>
      <w:r w:rsidR="007D6DC5" w:rsidRPr="00E61DD4">
        <w:rPr>
          <w:rFonts w:ascii="Times New Roman" w:hAnsi="Times New Roman" w:cs="Times New Roman"/>
          <w:sz w:val="24"/>
          <w:szCs w:val="24"/>
        </w:rPr>
        <w:t>outdoor play area</w:t>
      </w:r>
      <w:r w:rsidRPr="00E61DD4">
        <w:rPr>
          <w:rFonts w:ascii="Times New Roman" w:hAnsi="Times New Roman" w:cs="Times New Roman"/>
          <w:sz w:val="24"/>
          <w:szCs w:val="24"/>
        </w:rPr>
        <w:t>, through modeling and also through practicing. The study provides four vignettes of musical play and makes several observations on Canadian elementary school playground. The authors also argue that children should be seen as agentive and creative social actors in order to protect their free playtime in school, where they can also be in a position to practice communication as well as social skills in a complex and changing social environments. This study is important because it contributes to the competence, relatedness, and autonomy of children in musical play.</w:t>
      </w:r>
    </w:p>
    <w:p w:rsidR="000F1929" w:rsidRDefault="00E61DD4" w:rsidP="000F1929">
      <w:pPr>
        <w:pStyle w:val="BodyA"/>
        <w:spacing w:line="480" w:lineRule="auto"/>
        <w:rPr>
          <w:rStyle w:val="None"/>
          <w:rFonts w:ascii="Times New Roman" w:hAnsi="Times New Roman" w:cs="Times New Roman"/>
        </w:rPr>
      </w:pPr>
      <w:r w:rsidRPr="00E61DD4">
        <w:rPr>
          <w:rStyle w:val="None"/>
          <w:rFonts w:ascii="Times New Roman" w:hAnsi="Times New Roman" w:cs="Times New Roman"/>
        </w:rPr>
        <w:t>Chumley, Lily M. (2016). Creativity Class</w:t>
      </w:r>
      <w:r w:rsidRPr="00E61DD4">
        <w:rPr>
          <w:rStyle w:val="None"/>
          <w:rFonts w:ascii="Times New Roman" w:hAnsi="Times New Roman" w:cs="Times New Roman"/>
          <w:lang w:val="fr-FR"/>
        </w:rPr>
        <w:t> </w:t>
      </w:r>
      <w:r w:rsidRPr="00E61DD4">
        <w:rPr>
          <w:rStyle w:val="None"/>
          <w:rFonts w:ascii="Times New Roman" w:hAnsi="Times New Roman" w:cs="Times New Roman"/>
        </w:rPr>
        <w:t xml:space="preserve">: art school and culture work in postsocialist China </w:t>
      </w:r>
    </w:p>
    <w:p w:rsidR="00E61DD4" w:rsidRPr="00E61DD4" w:rsidRDefault="00E61DD4" w:rsidP="000F1929">
      <w:pPr>
        <w:pStyle w:val="BodyA"/>
        <w:spacing w:line="480" w:lineRule="auto"/>
        <w:ind w:firstLine="720"/>
        <w:rPr>
          <w:rFonts w:ascii="Times New Roman" w:eastAsia="Times New Roman" w:hAnsi="Times New Roman" w:cs="Times New Roman"/>
        </w:rPr>
      </w:pPr>
      <w:r w:rsidRPr="00E61DD4">
        <w:rPr>
          <w:rStyle w:val="None"/>
          <w:rFonts w:ascii="Times New Roman" w:hAnsi="Times New Roman" w:cs="Times New Roman"/>
        </w:rPr>
        <w:t>/ Lily Chumley. Princeton, New Jersey</w:t>
      </w:r>
      <w:r w:rsidRPr="00E61DD4">
        <w:rPr>
          <w:rStyle w:val="None"/>
          <w:rFonts w:ascii="Times New Roman" w:hAnsi="Times New Roman" w:cs="Times New Roman"/>
          <w:lang w:val="fr-FR"/>
        </w:rPr>
        <w:t> </w:t>
      </w:r>
      <w:r w:rsidRPr="00E61DD4">
        <w:rPr>
          <w:rStyle w:val="None"/>
          <w:rFonts w:ascii="Times New Roman" w:hAnsi="Times New Roman" w:cs="Times New Roman"/>
        </w:rPr>
        <w:t xml:space="preserve">: Princeton University Press, 5(1), </w:t>
      </w:r>
    </w:p>
    <w:p w:rsidR="00E61DD4" w:rsidRPr="000F1929" w:rsidRDefault="00E61DD4" w:rsidP="000F1929">
      <w:pPr>
        <w:pStyle w:val="BodyA"/>
        <w:spacing w:line="480" w:lineRule="auto"/>
        <w:ind w:left="720"/>
        <w:rPr>
          <w:rFonts w:ascii="Times New Roman" w:eastAsia="Times New Roman" w:hAnsi="Times New Roman" w:cs="Times New Roman"/>
        </w:rPr>
      </w:pPr>
      <w:r w:rsidRPr="00E61DD4">
        <w:rPr>
          <w:rFonts w:ascii="Times New Roman" w:hAnsi="Times New Roman" w:cs="Times New Roman"/>
        </w:rPr>
        <w:t>244</w:t>
      </w:r>
      <w:hyperlink r:id="rId9" w:history="1">
        <w:r w:rsidR="000F1929" w:rsidRPr="00E278A0">
          <w:rPr>
            <w:rStyle w:val="Hyperlink"/>
            <w:rFonts w:ascii="Times New Roman" w:hAnsi="Times New Roman" w:cs="Times New Roman"/>
            <w:u w:color="0563C1"/>
          </w:rPr>
          <w:t>http://ezproxy.libraries.wright.edu/login?url=https://search.ebscohost.com/login.aspx?direct=true&amp;db=cat01902a&amp;AN=wsu.b4146111&amp;site=eds-live</w:t>
        </w:r>
      </w:hyperlink>
      <w:r w:rsidRPr="00E61DD4">
        <w:rPr>
          <w:rFonts w:ascii="Times New Roman" w:hAnsi="Times New Roman" w:cs="Times New Roman"/>
        </w:rPr>
        <w:t xml:space="preserve"> </w:t>
      </w:r>
    </w:p>
    <w:p w:rsidR="00E61DD4" w:rsidRPr="00E61DD4" w:rsidRDefault="00E61DD4" w:rsidP="00E61DD4">
      <w:pPr>
        <w:pStyle w:val="BodyA"/>
        <w:spacing w:line="480" w:lineRule="auto"/>
        <w:ind w:firstLine="720"/>
        <w:rPr>
          <w:rStyle w:val="None"/>
          <w:rFonts w:ascii="Times New Roman" w:hAnsi="Times New Roman" w:cs="Times New Roman"/>
        </w:rPr>
      </w:pPr>
      <w:r w:rsidRPr="00E61DD4">
        <w:rPr>
          <w:rFonts w:ascii="Times New Roman" w:hAnsi="Times New Roman" w:cs="Times New Roman"/>
        </w:rPr>
        <w:t xml:space="preserve">The content of this book is outlined in six chapters along with notes and references. The book deals with the return of creative impulses and activities that Maoists initially sought to destroy. The author looks at how </w:t>
      </w:r>
      <w:r w:rsidR="007D6DC5" w:rsidRPr="00E61DD4">
        <w:rPr>
          <w:rFonts w:ascii="Times New Roman" w:hAnsi="Times New Roman" w:cs="Times New Roman"/>
        </w:rPr>
        <w:t>ideas</w:t>
      </w:r>
      <w:r w:rsidRPr="00E61DD4">
        <w:rPr>
          <w:rFonts w:ascii="Times New Roman" w:hAnsi="Times New Roman" w:cs="Times New Roman"/>
        </w:rPr>
        <w:t xml:space="preserve"> of </w:t>
      </w:r>
      <w:r w:rsidR="007D6DC5" w:rsidRPr="00E61DD4">
        <w:rPr>
          <w:rFonts w:ascii="Times New Roman" w:hAnsi="Times New Roman" w:cs="Times New Roman"/>
        </w:rPr>
        <w:t>creativeness</w:t>
      </w:r>
      <w:r w:rsidRPr="00E61DD4">
        <w:rPr>
          <w:rFonts w:ascii="Times New Roman" w:hAnsi="Times New Roman" w:cs="Times New Roman"/>
        </w:rPr>
        <w:t xml:space="preserve"> and practices of self-styling </w:t>
      </w:r>
      <w:r w:rsidR="007D6DC5" w:rsidRPr="00E61DD4">
        <w:rPr>
          <w:rFonts w:ascii="Times New Roman" w:hAnsi="Times New Roman" w:cs="Times New Roman"/>
        </w:rPr>
        <w:t>added</w:t>
      </w:r>
      <w:r w:rsidRPr="00E61DD4">
        <w:rPr>
          <w:rFonts w:ascii="Times New Roman" w:hAnsi="Times New Roman" w:cs="Times New Roman"/>
        </w:rPr>
        <w:t xml:space="preserve"> to the formation of various liberal, decedents, bourgeois, decadent, individualistic, and </w:t>
      </w:r>
      <w:r w:rsidR="007D6DC5" w:rsidRPr="00E61DD4">
        <w:rPr>
          <w:rFonts w:ascii="Times New Roman" w:hAnsi="Times New Roman" w:cs="Times New Roman"/>
        </w:rPr>
        <w:t>cynical</w:t>
      </w:r>
      <w:r w:rsidRPr="00E61DD4">
        <w:rPr>
          <w:rFonts w:ascii="Times New Roman" w:hAnsi="Times New Roman" w:cs="Times New Roman"/>
        </w:rPr>
        <w:t xml:space="preserve"> subjectivities. In the book, the author argues that creative practice changes as teachers who started their professional lives in state-assigned </w:t>
      </w:r>
      <w:r w:rsidR="007D6DC5">
        <w:rPr>
          <w:rFonts w:ascii="Times New Roman" w:hAnsi="Times New Roman" w:cs="Times New Roman"/>
        </w:rPr>
        <w:t xml:space="preserve">job areas </w:t>
      </w:r>
      <w:r w:rsidR="007D6DC5" w:rsidRPr="00E61DD4">
        <w:rPr>
          <w:rFonts w:ascii="Times New Roman" w:hAnsi="Times New Roman" w:cs="Times New Roman"/>
        </w:rPr>
        <w:t>equipped</w:t>
      </w:r>
      <w:r w:rsidRPr="00E61DD4">
        <w:rPr>
          <w:rFonts w:ascii="Times New Roman" w:hAnsi="Times New Roman" w:cs="Times New Roman"/>
        </w:rPr>
        <w:t xml:space="preserve"> their students in entering ‘free' labor markets. The author also uses several interviews, and class observation </w:t>
      </w:r>
      <w:r w:rsidRPr="00E61DD4">
        <w:rPr>
          <w:rFonts w:ascii="Times New Roman" w:hAnsi="Times New Roman" w:cs="Times New Roman"/>
        </w:rPr>
        <w:lastRenderedPageBreak/>
        <w:t xml:space="preserve">from established teachers, artists, and school administrators in arguing the importance of </w:t>
      </w:r>
      <w:r w:rsidRPr="00E61DD4">
        <w:rPr>
          <w:rStyle w:val="None"/>
          <w:rFonts w:ascii="Times New Roman" w:hAnsi="Times New Roman" w:cs="Times New Roman"/>
        </w:rPr>
        <w:t xml:space="preserve">art school and culture work in postsocialist China. This book is useful for research because it deals with art school and culture work. </w:t>
      </w:r>
    </w:p>
    <w:p w:rsidR="000F1929" w:rsidRDefault="00E61DD4" w:rsidP="000F1929">
      <w:pPr>
        <w:pStyle w:val="BodyA"/>
        <w:spacing w:line="480" w:lineRule="auto"/>
        <w:rPr>
          <w:rStyle w:val="None"/>
          <w:rFonts w:ascii="Times New Roman" w:hAnsi="Times New Roman" w:cs="Times New Roman"/>
        </w:rPr>
      </w:pPr>
      <w:r w:rsidRPr="00E61DD4">
        <w:rPr>
          <w:rStyle w:val="None"/>
          <w:rFonts w:ascii="Times New Roman" w:hAnsi="Times New Roman" w:cs="Times New Roman"/>
        </w:rPr>
        <w:t xml:space="preserve">Khah, V. M., &amp; Mahboobeh, Alborzi. (2016). The relationship between learning atmosphere </w:t>
      </w:r>
    </w:p>
    <w:p w:rsidR="00E61DD4" w:rsidRPr="00E61DD4" w:rsidRDefault="00E61DD4" w:rsidP="000F1929">
      <w:pPr>
        <w:pStyle w:val="BodyA"/>
        <w:spacing w:line="480" w:lineRule="auto"/>
        <w:ind w:left="720"/>
        <w:rPr>
          <w:rFonts w:ascii="Times New Roman" w:eastAsia="Times New Roman" w:hAnsi="Times New Roman" w:cs="Times New Roman"/>
        </w:rPr>
      </w:pPr>
      <w:r w:rsidRPr="00E61DD4">
        <w:rPr>
          <w:rStyle w:val="None"/>
          <w:rFonts w:ascii="Times New Roman" w:hAnsi="Times New Roman" w:cs="Times New Roman"/>
        </w:rPr>
        <w:t>and social creativity in primary school boy students. International Journal of Medical Research and Health Sciences, 5(11), 607</w:t>
      </w:r>
      <w:r w:rsidRPr="00E61DD4">
        <w:rPr>
          <w:rFonts w:ascii="Times New Roman" w:hAnsi="Times New Roman" w:cs="Times New Roman"/>
        </w:rPr>
        <w:t>–611.</w:t>
      </w:r>
    </w:p>
    <w:p w:rsidR="00E61DD4" w:rsidRPr="00E61DD4" w:rsidRDefault="000F1929" w:rsidP="000F1929">
      <w:pPr>
        <w:pStyle w:val="BodyA"/>
        <w:spacing w:line="480" w:lineRule="auto"/>
        <w:ind w:left="720"/>
        <w:rPr>
          <w:rFonts w:ascii="Times New Roman" w:eastAsia="Times New Roman" w:hAnsi="Times New Roman" w:cs="Times New Roman"/>
        </w:rPr>
      </w:pPr>
      <w:hyperlink w:history="1">
        <w:r w:rsidRPr="00E278A0">
          <w:rPr>
            <w:rStyle w:val="Hyperlink"/>
            <w:rFonts w:ascii="Times New Roman" w:hAnsi="Times New Roman" w:cs="Times New Roman"/>
            <w:u w:color="0563C1"/>
          </w:rPr>
          <w:t>https://doaj org.ezproxy.libraries.wright.edu/article/1790e52a8b064843acc34d2a4eb73e2e</w:t>
        </w:r>
      </w:hyperlink>
    </w:p>
    <w:p w:rsidR="00E61DD4" w:rsidRPr="00E61DD4" w:rsidRDefault="00E61DD4" w:rsidP="00E61DD4">
      <w:pPr>
        <w:pStyle w:val="BodyA"/>
        <w:spacing w:line="480" w:lineRule="auto"/>
        <w:ind w:firstLine="720"/>
        <w:rPr>
          <w:rFonts w:ascii="Times New Roman" w:hAnsi="Times New Roman" w:cs="Times New Roman"/>
        </w:rPr>
      </w:pPr>
      <w:r w:rsidRPr="00E61DD4">
        <w:rPr>
          <w:rFonts w:ascii="Times New Roman" w:eastAsia="Times New Roman" w:hAnsi="Times New Roman" w:cs="Times New Roman"/>
        </w:rPr>
        <w:t xml:space="preserve">The study deals with the relationship between teacher-student interaction and social </w:t>
      </w:r>
      <w:r w:rsidR="007D6DC5" w:rsidRPr="00E61DD4">
        <w:rPr>
          <w:rFonts w:ascii="Times New Roman" w:eastAsia="Times New Roman" w:hAnsi="Times New Roman" w:cs="Times New Roman"/>
        </w:rPr>
        <w:t>creativeness</w:t>
      </w:r>
      <w:r w:rsidRPr="00E61DD4">
        <w:rPr>
          <w:rFonts w:ascii="Times New Roman" w:eastAsia="Times New Roman" w:hAnsi="Times New Roman" w:cs="Times New Roman"/>
        </w:rPr>
        <w:t xml:space="preserve"> in primary school boy students. </w:t>
      </w:r>
      <w:r w:rsidRPr="00E61DD4">
        <w:rPr>
          <w:rFonts w:ascii="Times New Roman" w:hAnsi="Times New Roman" w:cs="Times New Roman"/>
        </w:rPr>
        <w:t xml:space="preserve"> In the study, the author attempts to argue whether or not there is a </w:t>
      </w:r>
      <w:r w:rsidR="007D6DC5" w:rsidRPr="00E61DD4">
        <w:rPr>
          <w:rFonts w:ascii="Times New Roman" w:hAnsi="Times New Roman" w:cs="Times New Roman"/>
        </w:rPr>
        <w:t>connection</w:t>
      </w:r>
      <w:r w:rsidRPr="00E61DD4">
        <w:rPr>
          <w:rFonts w:ascii="Times New Roman" w:hAnsi="Times New Roman" w:cs="Times New Roman"/>
        </w:rPr>
        <w:t xml:space="preserve"> between the learning </w:t>
      </w:r>
      <w:r w:rsidR="007D6DC5">
        <w:rPr>
          <w:rFonts w:ascii="Times New Roman" w:hAnsi="Times New Roman" w:cs="Times New Roman"/>
        </w:rPr>
        <w:t xml:space="preserve">environment </w:t>
      </w:r>
      <w:r w:rsidRPr="00E61DD4">
        <w:rPr>
          <w:rFonts w:ascii="Times New Roman" w:hAnsi="Times New Roman" w:cs="Times New Roman"/>
        </w:rPr>
        <w:t xml:space="preserve">and social </w:t>
      </w:r>
      <w:r w:rsidR="007D6DC5">
        <w:rPr>
          <w:rFonts w:ascii="Times New Roman" w:hAnsi="Times New Roman" w:cs="Times New Roman"/>
        </w:rPr>
        <w:t xml:space="preserve">creativeness </w:t>
      </w:r>
      <w:r w:rsidRPr="00E61DD4">
        <w:rPr>
          <w:rFonts w:ascii="Times New Roman" w:hAnsi="Times New Roman" w:cs="Times New Roman"/>
        </w:rPr>
        <w:t xml:space="preserve">in primary school boy students. The findings of this study show that the </w:t>
      </w:r>
      <w:r w:rsidR="007D6DC5" w:rsidRPr="00E61DD4">
        <w:rPr>
          <w:rFonts w:ascii="Times New Roman" w:hAnsi="Times New Roman" w:cs="Times New Roman"/>
        </w:rPr>
        <w:t>aspect</w:t>
      </w:r>
      <w:r w:rsidRPr="00E61DD4">
        <w:rPr>
          <w:rFonts w:ascii="Times New Roman" w:hAnsi="Times New Roman" w:cs="Times New Roman"/>
        </w:rPr>
        <w:t xml:space="preserve"> of freedom and responsibility is a negative and a</w:t>
      </w:r>
      <w:r w:rsidR="007D6DC5">
        <w:rPr>
          <w:rFonts w:ascii="Times New Roman" w:hAnsi="Times New Roman" w:cs="Times New Roman"/>
        </w:rPr>
        <w:t>n</w:t>
      </w:r>
      <w:r w:rsidRPr="00E61DD4">
        <w:rPr>
          <w:rFonts w:ascii="Times New Roman" w:hAnsi="Times New Roman" w:cs="Times New Roman"/>
        </w:rPr>
        <w:t xml:space="preserve"> </w:t>
      </w:r>
      <w:r w:rsidR="007D6DC5" w:rsidRPr="00E61DD4">
        <w:rPr>
          <w:rFonts w:ascii="Times New Roman" w:hAnsi="Times New Roman" w:cs="Times New Roman"/>
        </w:rPr>
        <w:t>important</w:t>
      </w:r>
      <w:r w:rsidRPr="00E61DD4">
        <w:rPr>
          <w:rFonts w:ascii="Times New Roman" w:hAnsi="Times New Roman" w:cs="Times New Roman"/>
        </w:rPr>
        <w:t xml:space="preserve"> predictor of social </w:t>
      </w:r>
      <w:r w:rsidR="007D6DC5" w:rsidRPr="00E61DD4">
        <w:rPr>
          <w:rFonts w:ascii="Times New Roman" w:hAnsi="Times New Roman" w:cs="Times New Roman"/>
        </w:rPr>
        <w:t>creativeness</w:t>
      </w:r>
      <w:r w:rsidRPr="00E61DD4">
        <w:rPr>
          <w:rFonts w:ascii="Times New Roman" w:hAnsi="Times New Roman" w:cs="Times New Roman"/>
        </w:rPr>
        <w:t xml:space="preserve">. Meanwhile, the author argues that teachers can establish the creativity of children by creating an atmosphere that is appropriate and necessary for creating self-confidence for them. At the same time, teachers should help children avoid behaviors that could affect their creative growth. This study is essential for research because it deals with the importance of having a positive atmosphere in order to create </w:t>
      </w:r>
      <w:r w:rsidRPr="00E61DD4">
        <w:rPr>
          <w:rStyle w:val="None"/>
          <w:rFonts w:ascii="Times New Roman" w:hAnsi="Times New Roman" w:cs="Times New Roman"/>
        </w:rPr>
        <w:t xml:space="preserve">social </w:t>
      </w:r>
      <w:r w:rsidRPr="00E61DD4">
        <w:rPr>
          <w:rFonts w:ascii="Times New Roman" w:hAnsi="Times New Roman" w:cs="Times New Roman"/>
        </w:rPr>
        <w:t xml:space="preserve">creativity. </w:t>
      </w:r>
    </w:p>
    <w:p w:rsidR="000F1929" w:rsidRDefault="00E61DD4" w:rsidP="000F1929">
      <w:pPr>
        <w:pStyle w:val="BodyA"/>
        <w:spacing w:line="480" w:lineRule="auto"/>
        <w:rPr>
          <w:rFonts w:ascii="Times New Roman" w:hAnsi="Times New Roman" w:cs="Times New Roman"/>
        </w:rPr>
      </w:pPr>
      <w:r w:rsidRPr="00E61DD4">
        <w:rPr>
          <w:rStyle w:val="None"/>
          <w:rFonts w:ascii="Times New Roman" w:hAnsi="Times New Roman" w:cs="Times New Roman"/>
        </w:rPr>
        <w:t>Misfeldt, Morten, &amp; Zacho, Lis. (2016). Supporting primary-level mathematics teachers</w:t>
      </w:r>
      <w:r w:rsidRPr="00E61DD4">
        <w:rPr>
          <w:rFonts w:ascii="Times New Roman" w:hAnsi="Times New Roman" w:cs="Times New Roman"/>
        </w:rPr>
        <w:t xml:space="preserve">’ </w:t>
      </w:r>
    </w:p>
    <w:p w:rsidR="00E61DD4" w:rsidRPr="00E61DD4" w:rsidRDefault="00E61DD4" w:rsidP="000F1929">
      <w:pPr>
        <w:pStyle w:val="BodyA"/>
        <w:spacing w:line="480" w:lineRule="auto"/>
        <w:ind w:left="720"/>
        <w:rPr>
          <w:rFonts w:ascii="Times New Roman" w:eastAsia="Times New Roman" w:hAnsi="Times New Roman" w:cs="Times New Roman"/>
        </w:rPr>
      </w:pPr>
      <w:r w:rsidRPr="00E61DD4">
        <w:rPr>
          <w:rStyle w:val="None"/>
          <w:rFonts w:ascii="Times New Roman" w:hAnsi="Times New Roman" w:cs="Times New Roman"/>
        </w:rPr>
        <w:t>collaboration in designing and using technology-based scenarios. Journal of Mathematics Teacher Education</w:t>
      </w:r>
      <w:r w:rsidRPr="00E61DD4">
        <w:rPr>
          <w:rFonts w:ascii="Times New Roman" w:hAnsi="Times New Roman" w:cs="Times New Roman"/>
        </w:rPr>
        <w:t xml:space="preserve">, 19  (2-3), 227–241. </w:t>
      </w:r>
      <w:hyperlink r:id="rId10" w:history="1">
        <w:r w:rsidRPr="00E61DD4">
          <w:rPr>
            <w:rStyle w:val="Hyperlink1"/>
            <w:rFonts w:ascii="Times New Roman" w:hAnsi="Times New Roman" w:cs="Times New Roman"/>
          </w:rPr>
          <w:t>http://dx.doi.org.ezproxy.libraries.wright.edu/10.1007/s10857-015-9336-5</w:t>
        </w:r>
      </w:hyperlink>
    </w:p>
    <w:p w:rsidR="00E61DD4" w:rsidRPr="00E61DD4" w:rsidRDefault="00E61DD4" w:rsidP="00E61DD4">
      <w:pPr>
        <w:pStyle w:val="BodyA"/>
        <w:spacing w:line="480" w:lineRule="auto"/>
        <w:ind w:firstLine="720"/>
        <w:rPr>
          <w:rFonts w:ascii="Times New Roman" w:eastAsia="Times New Roman" w:hAnsi="Times New Roman" w:cs="Times New Roman"/>
        </w:rPr>
      </w:pPr>
      <w:r w:rsidRPr="00E61DD4">
        <w:rPr>
          <w:rFonts w:ascii="Times New Roman" w:eastAsia="Times New Roman" w:hAnsi="Times New Roman" w:cs="Times New Roman"/>
        </w:rPr>
        <w:t xml:space="preserve">This is a journal article on mathematics education. In the article </w:t>
      </w:r>
      <w:r w:rsidRPr="00E61DD4">
        <w:rPr>
          <w:rStyle w:val="None"/>
          <w:rFonts w:ascii="Times New Roman" w:hAnsi="Times New Roman" w:cs="Times New Roman"/>
        </w:rPr>
        <w:t xml:space="preserve">Misfeldt and associates, deals with the way design of educational scenarios can assist in supporting the adoption of technology and open-ended projects that endorse innovation and creativity. The authors argue that since teachers and students both works with the concept of the game as a </w:t>
      </w:r>
      <w:r w:rsidRPr="00E61DD4">
        <w:rPr>
          <w:rStyle w:val="None"/>
          <w:rFonts w:ascii="Times New Roman" w:hAnsi="Times New Roman" w:cs="Times New Roman"/>
        </w:rPr>
        <w:lastRenderedPageBreak/>
        <w:t xml:space="preserve">design, and students tend to engage themselves in scenarios created by teachers as a way of playing games, developing digital learning environments can be useful for children to adequately mathematics education.  This study is important because it looks at various strategies through which teachers can establish in teaching their students. The journal can be used for research in relating the importance of technology in supporting primary-level mathematics education.   </w:t>
      </w:r>
      <w:r w:rsidRPr="00E61DD4">
        <w:rPr>
          <w:rFonts w:ascii="Times New Roman" w:eastAsia="Times New Roman" w:hAnsi="Times New Roman" w:cs="Times New Roman"/>
        </w:rPr>
        <w:t xml:space="preserve"> </w:t>
      </w:r>
    </w:p>
    <w:p w:rsidR="00E61DD4" w:rsidRPr="00E61DD4" w:rsidRDefault="00E61DD4" w:rsidP="00E61DD4">
      <w:pPr>
        <w:spacing w:line="480" w:lineRule="auto"/>
        <w:rPr>
          <w:rFonts w:ascii="Times New Roman" w:hAnsi="Times New Roman" w:cs="Times New Roman"/>
          <w:sz w:val="24"/>
          <w:szCs w:val="24"/>
        </w:rPr>
      </w:pPr>
    </w:p>
    <w:p w:rsidR="00E61DD4" w:rsidRPr="00E61DD4" w:rsidRDefault="00E61DD4" w:rsidP="00E61DD4">
      <w:pPr>
        <w:pStyle w:val="BodyA"/>
        <w:spacing w:line="480" w:lineRule="auto"/>
        <w:rPr>
          <w:rFonts w:ascii="Times New Roman" w:eastAsia="Times New Roman" w:hAnsi="Times New Roman" w:cs="Times New Roman"/>
        </w:rPr>
      </w:pPr>
    </w:p>
    <w:p w:rsidR="00E61DD4" w:rsidRPr="00E61DD4" w:rsidRDefault="00E61DD4" w:rsidP="00E61DD4">
      <w:pPr>
        <w:spacing w:line="480" w:lineRule="auto"/>
        <w:rPr>
          <w:rFonts w:ascii="Times New Roman" w:hAnsi="Times New Roman" w:cs="Times New Roman"/>
          <w:sz w:val="24"/>
          <w:szCs w:val="24"/>
        </w:rPr>
      </w:pPr>
    </w:p>
    <w:p w:rsidR="00E61DD4" w:rsidRPr="00E61DD4" w:rsidRDefault="00E61DD4" w:rsidP="00E61DD4">
      <w:pPr>
        <w:pStyle w:val="BodyA"/>
        <w:spacing w:line="480" w:lineRule="auto"/>
        <w:rPr>
          <w:rFonts w:ascii="Times New Roman" w:hAnsi="Times New Roman" w:cs="Times New Roman"/>
        </w:rPr>
      </w:pPr>
    </w:p>
    <w:p w:rsidR="00E61DD4" w:rsidRPr="00E61DD4" w:rsidRDefault="00E61DD4" w:rsidP="00E61DD4">
      <w:pPr>
        <w:spacing w:line="480" w:lineRule="auto"/>
        <w:rPr>
          <w:rFonts w:ascii="Times New Roman" w:hAnsi="Times New Roman" w:cs="Times New Roman"/>
          <w:sz w:val="24"/>
          <w:szCs w:val="24"/>
        </w:rPr>
      </w:pPr>
      <w:r w:rsidRPr="00E61DD4">
        <w:rPr>
          <w:rFonts w:ascii="Times New Roman" w:hAnsi="Times New Roman" w:cs="Times New Roman"/>
          <w:sz w:val="24"/>
          <w:szCs w:val="24"/>
        </w:rPr>
        <w:br w:type="page"/>
      </w:r>
    </w:p>
    <w:p w:rsidR="00A43878" w:rsidRPr="00E61DD4" w:rsidRDefault="0089319C" w:rsidP="00E61DD4">
      <w:pPr>
        <w:spacing w:line="480" w:lineRule="auto"/>
        <w:jc w:val="center"/>
        <w:rPr>
          <w:rFonts w:ascii="Times New Roman" w:hAnsi="Times New Roman" w:cs="Times New Roman"/>
          <w:sz w:val="24"/>
          <w:szCs w:val="24"/>
        </w:rPr>
      </w:pPr>
      <w:r w:rsidRPr="00E61DD4">
        <w:rPr>
          <w:rFonts w:ascii="Times New Roman" w:hAnsi="Times New Roman" w:cs="Times New Roman"/>
          <w:sz w:val="24"/>
          <w:szCs w:val="24"/>
        </w:rPr>
        <w:lastRenderedPageBreak/>
        <w:t>References</w:t>
      </w:r>
    </w:p>
    <w:p w:rsidR="00E61DD4" w:rsidRPr="00E61DD4" w:rsidRDefault="00E61DD4" w:rsidP="00E61DD4">
      <w:pPr>
        <w:pStyle w:val="BodyA"/>
        <w:spacing w:line="480" w:lineRule="auto"/>
        <w:ind w:left="720" w:hanging="720"/>
        <w:rPr>
          <w:rFonts w:ascii="Times New Roman" w:eastAsia="Times New Roman" w:hAnsi="Times New Roman" w:cs="Times New Roman"/>
        </w:rPr>
      </w:pPr>
      <w:r w:rsidRPr="00E61DD4">
        <w:rPr>
          <w:rStyle w:val="None"/>
          <w:rFonts w:ascii="Times New Roman" w:hAnsi="Times New Roman" w:cs="Times New Roman"/>
        </w:rPr>
        <w:t>Countryman, June. (2014). Missteps, flaws, and morphings in children</w:t>
      </w:r>
      <w:r w:rsidRPr="00E61DD4">
        <w:rPr>
          <w:rFonts w:ascii="Times New Roman" w:hAnsi="Times New Roman" w:cs="Times New Roman"/>
        </w:rPr>
        <w:t>’</w:t>
      </w:r>
      <w:r w:rsidRPr="00E61DD4">
        <w:rPr>
          <w:rStyle w:val="None"/>
          <w:rFonts w:ascii="Times New Roman" w:hAnsi="Times New Roman" w:cs="Times New Roman"/>
        </w:rPr>
        <w:t>s musical play: Snapshots from school playgrounds. Research Studies in Music Education,</w:t>
      </w:r>
      <w:r w:rsidRPr="00E61DD4">
        <w:rPr>
          <w:rFonts w:ascii="Times New Roman" w:hAnsi="Times New Roman" w:cs="Times New Roman"/>
        </w:rPr>
        <w:t xml:space="preserve"> 36(1), 3–18.</w:t>
      </w:r>
    </w:p>
    <w:bookmarkStart w:id="0" w:name="_GoBack"/>
    <w:bookmarkEnd w:id="0"/>
    <w:p w:rsidR="00E61DD4" w:rsidRPr="00E61DD4" w:rsidRDefault="00FF6128" w:rsidP="000F1929">
      <w:pPr>
        <w:pStyle w:val="BodyA"/>
        <w:spacing w:line="480" w:lineRule="auto"/>
        <w:ind w:left="720"/>
        <w:rPr>
          <w:rFonts w:ascii="Times New Roman" w:hAnsi="Times New Roman" w:cs="Times New Roman"/>
        </w:rPr>
      </w:pPr>
      <w:r>
        <w:fldChar w:fldCharType="begin"/>
      </w:r>
      <w:r>
        <w:instrText xml:space="preserve"> HYPERLINK "http://dx.doi.org.ezproxy.libraries.wright.edu/10.1177/1321103X14528456" </w:instrText>
      </w:r>
      <w:r>
        <w:fldChar w:fldCharType="separate"/>
      </w:r>
      <w:r w:rsidR="00E61DD4" w:rsidRPr="00E61DD4">
        <w:rPr>
          <w:rStyle w:val="Hyperlink1"/>
          <w:rFonts w:ascii="Times New Roman" w:hAnsi="Times New Roman" w:cs="Times New Roman"/>
        </w:rPr>
        <w:t>http://dx.doi.org.ezproxy.libraries.wright.edu/10.1177/1321103X14528456</w:t>
      </w:r>
      <w:r>
        <w:rPr>
          <w:rStyle w:val="Hyperlink1"/>
          <w:rFonts w:ascii="Times New Roman" w:hAnsi="Times New Roman" w:cs="Times New Roman"/>
        </w:rPr>
        <w:fldChar w:fldCharType="end"/>
      </w:r>
    </w:p>
    <w:p w:rsidR="00E61DD4" w:rsidRPr="00E61DD4" w:rsidRDefault="00E61DD4" w:rsidP="00E61DD4">
      <w:pPr>
        <w:pStyle w:val="BodyA"/>
        <w:spacing w:line="480" w:lineRule="auto"/>
        <w:ind w:left="720" w:hanging="720"/>
        <w:rPr>
          <w:rFonts w:ascii="Times New Roman" w:eastAsia="Times New Roman" w:hAnsi="Times New Roman" w:cs="Times New Roman"/>
        </w:rPr>
      </w:pPr>
      <w:r w:rsidRPr="00E61DD4">
        <w:rPr>
          <w:rStyle w:val="None"/>
          <w:rFonts w:ascii="Times New Roman" w:hAnsi="Times New Roman" w:cs="Times New Roman"/>
        </w:rPr>
        <w:t>Chumley, Lily M. (2016). Creativity Class</w:t>
      </w:r>
      <w:r w:rsidRPr="00E61DD4">
        <w:rPr>
          <w:rStyle w:val="None"/>
          <w:rFonts w:ascii="Times New Roman" w:hAnsi="Times New Roman" w:cs="Times New Roman"/>
          <w:lang w:val="fr-FR"/>
        </w:rPr>
        <w:t> </w:t>
      </w:r>
      <w:r w:rsidRPr="00E61DD4">
        <w:rPr>
          <w:rStyle w:val="None"/>
          <w:rFonts w:ascii="Times New Roman" w:hAnsi="Times New Roman" w:cs="Times New Roman"/>
        </w:rPr>
        <w:t>: art school and culture work in postsocialist China / Lily Chumley. Princeton, New Jersey</w:t>
      </w:r>
      <w:r w:rsidRPr="00E61DD4">
        <w:rPr>
          <w:rStyle w:val="None"/>
          <w:rFonts w:ascii="Times New Roman" w:hAnsi="Times New Roman" w:cs="Times New Roman"/>
          <w:lang w:val="fr-FR"/>
        </w:rPr>
        <w:t> </w:t>
      </w:r>
      <w:r w:rsidRPr="00E61DD4">
        <w:rPr>
          <w:rStyle w:val="None"/>
          <w:rFonts w:ascii="Times New Roman" w:hAnsi="Times New Roman" w:cs="Times New Roman"/>
        </w:rPr>
        <w:t xml:space="preserve">: Princeton University Press, 5(1), </w:t>
      </w:r>
    </w:p>
    <w:p w:rsidR="00E61DD4" w:rsidRPr="00E61DD4" w:rsidRDefault="00E61DD4" w:rsidP="000F1929">
      <w:pPr>
        <w:pStyle w:val="BodyA"/>
        <w:spacing w:line="480" w:lineRule="auto"/>
        <w:ind w:left="720"/>
        <w:rPr>
          <w:rFonts w:ascii="Times New Roman" w:hAnsi="Times New Roman" w:cs="Times New Roman"/>
        </w:rPr>
      </w:pPr>
      <w:r w:rsidRPr="00E61DD4">
        <w:rPr>
          <w:rFonts w:ascii="Times New Roman" w:hAnsi="Times New Roman" w:cs="Times New Roman"/>
        </w:rPr>
        <w:t>244.</w:t>
      </w:r>
      <w:hyperlink r:id="rId11" w:history="1">
        <w:r w:rsidRPr="00E61DD4">
          <w:rPr>
            <w:rStyle w:val="Hyperlink1"/>
            <w:rFonts w:ascii="Times New Roman" w:hAnsi="Times New Roman" w:cs="Times New Roman"/>
          </w:rPr>
          <w:t>http://ezproxy.libraries.wright.edu/login?url=https://search.ebscohost.com/login.aspx?direct=true&amp;db=cat01902a&amp;AN=wsu.b4146111&amp;site=eds-live</w:t>
        </w:r>
      </w:hyperlink>
      <w:r w:rsidRPr="00E61DD4">
        <w:rPr>
          <w:rFonts w:ascii="Times New Roman" w:hAnsi="Times New Roman" w:cs="Times New Roman"/>
        </w:rPr>
        <w:t xml:space="preserve"> </w:t>
      </w:r>
    </w:p>
    <w:p w:rsidR="00E61DD4" w:rsidRPr="00E61DD4" w:rsidRDefault="00E61DD4" w:rsidP="00E61DD4">
      <w:pPr>
        <w:pStyle w:val="BodyA"/>
        <w:spacing w:line="480" w:lineRule="auto"/>
        <w:ind w:left="720" w:hanging="720"/>
        <w:rPr>
          <w:rFonts w:ascii="Times New Roman" w:eastAsia="Times New Roman" w:hAnsi="Times New Roman" w:cs="Times New Roman"/>
        </w:rPr>
      </w:pPr>
      <w:r w:rsidRPr="00E61DD4">
        <w:rPr>
          <w:rStyle w:val="None"/>
          <w:rFonts w:ascii="Times New Roman" w:hAnsi="Times New Roman" w:cs="Times New Roman"/>
        </w:rPr>
        <w:t>Khah, V. M., &amp; Mahboobeh, Alborzi. (2016). The relationship between learning atmosphere and social creativity in primary school boy students. International Journal of Medical Research and Health Sciences, 5(11), 607</w:t>
      </w:r>
      <w:r w:rsidRPr="00E61DD4">
        <w:rPr>
          <w:rFonts w:ascii="Times New Roman" w:hAnsi="Times New Roman" w:cs="Times New Roman"/>
        </w:rPr>
        <w:t>–611.</w:t>
      </w:r>
    </w:p>
    <w:p w:rsidR="00E61DD4" w:rsidRPr="00E61DD4" w:rsidRDefault="00E61DD4" w:rsidP="000F1929">
      <w:pPr>
        <w:pStyle w:val="BodyA"/>
        <w:spacing w:line="480" w:lineRule="auto"/>
        <w:ind w:left="720"/>
        <w:rPr>
          <w:rFonts w:ascii="Times New Roman" w:hAnsi="Times New Roman" w:cs="Times New Roman"/>
        </w:rPr>
      </w:pPr>
      <w:r w:rsidRPr="00E61DD4">
        <w:rPr>
          <w:rFonts w:ascii="Times New Roman" w:hAnsi="Times New Roman" w:cs="Times New Roman"/>
        </w:rPr>
        <w:t xml:space="preserve"> </w:t>
      </w:r>
      <w:hyperlink r:id="rId12" w:history="1">
        <w:r w:rsidRPr="00E61DD4">
          <w:rPr>
            <w:rStyle w:val="Hyperlink1"/>
            <w:rFonts w:ascii="Times New Roman" w:hAnsi="Times New Roman" w:cs="Times New Roman"/>
          </w:rPr>
          <w:t>https://doaj-org.ezproxy.libraries.wright.edu/article/1790e52a8b064843acc34d2a4eb73e2e</w:t>
        </w:r>
      </w:hyperlink>
    </w:p>
    <w:p w:rsidR="00E61DD4" w:rsidRPr="00E61DD4" w:rsidRDefault="00E61DD4" w:rsidP="00E61DD4">
      <w:pPr>
        <w:pStyle w:val="BodyA"/>
        <w:spacing w:line="480" w:lineRule="auto"/>
        <w:ind w:left="720" w:hanging="720"/>
        <w:rPr>
          <w:rFonts w:ascii="Times New Roman" w:eastAsia="Times New Roman" w:hAnsi="Times New Roman" w:cs="Times New Roman"/>
        </w:rPr>
      </w:pPr>
      <w:r w:rsidRPr="00E61DD4">
        <w:rPr>
          <w:rStyle w:val="None"/>
          <w:rFonts w:ascii="Times New Roman" w:hAnsi="Times New Roman" w:cs="Times New Roman"/>
        </w:rPr>
        <w:t>Misfeldt, Morten, &amp; Zacho, Lis. (2016). Supporting primary-level mathematics teachers</w:t>
      </w:r>
      <w:r w:rsidRPr="00E61DD4">
        <w:rPr>
          <w:rFonts w:ascii="Times New Roman" w:hAnsi="Times New Roman" w:cs="Times New Roman"/>
        </w:rPr>
        <w:t xml:space="preserve">’ </w:t>
      </w:r>
      <w:r w:rsidRPr="00E61DD4">
        <w:rPr>
          <w:rStyle w:val="None"/>
          <w:rFonts w:ascii="Times New Roman" w:hAnsi="Times New Roman" w:cs="Times New Roman"/>
        </w:rPr>
        <w:t>collaboration in designing and using technology-based scenarios. Journal of Mathematics Teacher Education</w:t>
      </w:r>
      <w:r w:rsidRPr="00E61DD4">
        <w:rPr>
          <w:rFonts w:ascii="Times New Roman" w:hAnsi="Times New Roman" w:cs="Times New Roman"/>
        </w:rPr>
        <w:t>, 19  (2-3), 227–241.</w:t>
      </w:r>
    </w:p>
    <w:p w:rsidR="00E61DD4" w:rsidRPr="00E61DD4" w:rsidRDefault="00E61DD4" w:rsidP="000F1929">
      <w:pPr>
        <w:pStyle w:val="BodyA"/>
        <w:spacing w:line="480" w:lineRule="auto"/>
        <w:ind w:left="720"/>
        <w:rPr>
          <w:rFonts w:ascii="Times New Roman" w:eastAsia="Times New Roman" w:hAnsi="Times New Roman" w:cs="Times New Roman"/>
        </w:rPr>
      </w:pPr>
      <w:r w:rsidRPr="00E61DD4">
        <w:rPr>
          <w:rFonts w:ascii="Times New Roman" w:hAnsi="Times New Roman" w:cs="Times New Roman"/>
        </w:rPr>
        <w:t xml:space="preserve"> </w:t>
      </w:r>
      <w:hyperlink r:id="rId13" w:history="1">
        <w:r w:rsidRPr="00E61DD4">
          <w:rPr>
            <w:rStyle w:val="Hyperlink1"/>
            <w:rFonts w:ascii="Times New Roman" w:hAnsi="Times New Roman" w:cs="Times New Roman"/>
          </w:rPr>
          <w:t>http://dx.doi.org.ezproxy.libraries.wright.edu/10.1007/s10857-015-9336-5</w:t>
        </w:r>
      </w:hyperlink>
    </w:p>
    <w:p w:rsidR="00E61DD4" w:rsidRPr="00E61DD4" w:rsidRDefault="00E61DD4" w:rsidP="00E61DD4">
      <w:pPr>
        <w:pStyle w:val="BodyA"/>
        <w:spacing w:line="480" w:lineRule="auto"/>
        <w:rPr>
          <w:rFonts w:ascii="Times New Roman" w:eastAsia="Times New Roman" w:hAnsi="Times New Roman" w:cs="Times New Roman"/>
        </w:rPr>
      </w:pPr>
    </w:p>
    <w:p w:rsidR="00E61DD4" w:rsidRPr="00E61DD4" w:rsidRDefault="00E61DD4" w:rsidP="00E61DD4">
      <w:pPr>
        <w:pStyle w:val="BodyA"/>
        <w:spacing w:line="480" w:lineRule="auto"/>
        <w:rPr>
          <w:rFonts w:ascii="Times New Roman" w:eastAsia="Times New Roman" w:hAnsi="Times New Roman" w:cs="Times New Roman"/>
        </w:rPr>
      </w:pPr>
    </w:p>
    <w:p w:rsidR="00E61DD4" w:rsidRPr="00E61DD4" w:rsidRDefault="00E61DD4" w:rsidP="00E61DD4">
      <w:pPr>
        <w:pStyle w:val="BodyA"/>
        <w:spacing w:line="480" w:lineRule="auto"/>
        <w:rPr>
          <w:rFonts w:ascii="Times New Roman" w:eastAsia="Times New Roman" w:hAnsi="Times New Roman" w:cs="Times New Roman"/>
        </w:rPr>
      </w:pPr>
    </w:p>
    <w:p w:rsidR="00D3003F" w:rsidRPr="00E61DD4" w:rsidRDefault="00D3003F" w:rsidP="00E61DD4">
      <w:pPr>
        <w:spacing w:line="480" w:lineRule="auto"/>
        <w:ind w:left="567" w:hanging="567"/>
        <w:rPr>
          <w:rFonts w:ascii="Times New Roman" w:hAnsi="Times New Roman" w:cs="Times New Roman"/>
          <w:sz w:val="24"/>
          <w:szCs w:val="24"/>
          <w:shd w:val="clear" w:color="auto" w:fill="FFFFFF"/>
        </w:rPr>
      </w:pPr>
    </w:p>
    <w:sectPr w:rsidR="00D3003F" w:rsidRPr="00E61DD4" w:rsidSect="009017B5">
      <w:headerReference w:type="default" r:id="rId14"/>
      <w:headerReference w:type="first" r:id="rId15"/>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128" w:rsidRDefault="00FF6128" w:rsidP="00EE0CEB">
      <w:pPr>
        <w:spacing w:after="0" w:line="240" w:lineRule="auto"/>
      </w:pPr>
      <w:r>
        <w:separator/>
      </w:r>
    </w:p>
  </w:endnote>
  <w:endnote w:type="continuationSeparator" w:id="0">
    <w:p w:rsidR="00FF6128" w:rsidRDefault="00FF6128"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128" w:rsidRDefault="00FF6128" w:rsidP="00EE0CEB">
      <w:pPr>
        <w:spacing w:after="0" w:line="240" w:lineRule="auto"/>
      </w:pPr>
      <w:r>
        <w:separator/>
      </w:r>
    </w:p>
  </w:footnote>
  <w:footnote w:type="continuationSeparator" w:id="0">
    <w:p w:rsidR="00FF6128" w:rsidRDefault="00FF6128"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17D8A" w:rsidRDefault="00E61DD4" w:rsidP="00617D8A">
    <w:pPr>
      <w:rPr>
        <w:rFonts w:ascii="Times New Roman" w:hAnsi="Times New Roman" w:cs="Times New Roman"/>
        <w:color w:val="222222"/>
        <w:sz w:val="24"/>
        <w:shd w:val="clear" w:color="auto" w:fill="FFFFFF"/>
      </w:rPr>
    </w:pPr>
    <w:r w:rsidRPr="00E61DD4">
      <w:rPr>
        <w:rFonts w:ascii="Times New Roman" w:eastAsiaTheme="minorHAnsi" w:hAnsi="Times New Roman" w:cs="Times New Roman"/>
        <w:color w:val="222222"/>
        <w:shd w:val="clear" w:color="auto" w:fill="FFFFFF"/>
      </w:rPr>
      <w:t>ANNOTATED BIBLIOGRAPHY</w:t>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0F1929">
      <w:rPr>
        <w:rFonts w:ascii="Times New Roman" w:hAnsi="Times New Roman" w:cs="Times New Roman"/>
        <w:noProof/>
        <w:sz w:val="24"/>
        <w:szCs w:val="24"/>
      </w:rPr>
      <w:t>5</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E61DD4" w:rsidRDefault="002162C1" w:rsidP="00E61DD4">
    <w:pPr>
      <w:pStyle w:val="BodyA"/>
      <w:spacing w:line="480" w:lineRule="auto"/>
      <w:jc w:val="center"/>
      <w:rPr>
        <w:rFonts w:ascii="Times New Roman" w:eastAsiaTheme="minorHAnsi" w:hAnsi="Times New Roman" w:cs="Times New Roman"/>
        <w:color w:val="222222"/>
        <w:bdr w:val="none" w:sz="0" w:space="0" w:color="auto"/>
        <w:shd w:val="clear" w:color="auto" w:fill="FFFFFF"/>
      </w:rPr>
    </w:pPr>
    <w:r w:rsidRPr="00D71ECA">
      <w:rPr>
        <w:rFonts w:ascii="Times New Roman" w:hAnsi="Times New Roman" w:cs="Times New Roman"/>
      </w:rPr>
      <w:t>Running head</w:t>
    </w:r>
    <w:r w:rsidR="00085728" w:rsidRPr="00D71ECA">
      <w:rPr>
        <w:rFonts w:ascii="Times New Roman" w:hAnsi="Times New Roman" w:cs="Times New Roman"/>
      </w:rPr>
      <w:t>:</w:t>
    </w:r>
    <w:r w:rsidR="00085728" w:rsidRPr="00D71ECA">
      <w:rPr>
        <w:rFonts w:ascii="Times New Roman" w:hAnsi="Times New Roman" w:cs="Times New Roman"/>
        <w:shd w:val="clear" w:color="auto" w:fill="FFFFFF"/>
      </w:rPr>
      <w:t xml:space="preserve"> </w:t>
    </w:r>
    <w:r w:rsidR="00E61DD4" w:rsidRPr="00E61DD4">
      <w:rPr>
        <w:rFonts w:ascii="Times New Roman" w:eastAsiaTheme="minorHAnsi" w:hAnsi="Times New Roman" w:cs="Times New Roman"/>
        <w:color w:val="222222"/>
        <w:bdr w:val="none" w:sz="0" w:space="0" w:color="auto"/>
        <w:shd w:val="clear" w:color="auto" w:fill="FFFFFF"/>
      </w:rPr>
      <w:t>ANNOTATED BIBLIOGRAPHY</w:t>
    </w:r>
    <w:r w:rsidR="00C35B4A">
      <w:rPr>
        <w:rFonts w:ascii="Times New Roman" w:hAnsi="Times New Roman" w:cs="Times New Roman"/>
        <w:color w:val="222222"/>
        <w:shd w:val="clear" w:color="auto" w:fill="FFFFFF"/>
      </w:rPr>
      <w:tab/>
    </w:r>
    <w:r w:rsidR="00C35B4A">
      <w:rPr>
        <w:rFonts w:ascii="Times New Roman" w:hAnsi="Times New Roman" w:cs="Times New Roman"/>
        <w:color w:val="222222"/>
        <w:shd w:val="clear" w:color="auto" w:fill="FFFFFF"/>
      </w:rPr>
      <w:tab/>
    </w:r>
    <w:r w:rsidR="00C35B4A">
      <w:rPr>
        <w:rFonts w:ascii="Times New Roman" w:hAnsi="Times New Roman" w:cs="Times New Roman"/>
        <w:color w:val="222222"/>
        <w:shd w:val="clear" w:color="auto" w:fill="FFFFFF"/>
      </w:rPr>
      <w:tab/>
    </w:r>
    <w:r w:rsidR="00C35B4A">
      <w:rPr>
        <w:rFonts w:ascii="Times New Roman" w:hAnsi="Times New Roman" w:cs="Times New Roman"/>
        <w:color w:val="222222"/>
        <w:shd w:val="clear" w:color="auto" w:fill="FFFFFF"/>
      </w:rPr>
      <w:tab/>
    </w:r>
    <w:r w:rsidR="00C35B4A">
      <w:rPr>
        <w:rFonts w:ascii="Times New Roman" w:hAnsi="Times New Roman" w:cs="Times New Roman"/>
        <w:color w:val="222222"/>
        <w:shd w:val="clear" w:color="auto" w:fill="FFFFFF"/>
      </w:rPr>
      <w:tab/>
    </w:r>
    <w:r w:rsidR="00C35B4A">
      <w:rPr>
        <w:rFonts w:ascii="Times New Roman" w:hAnsi="Times New Roman" w:cs="Times New Roman"/>
        <w:color w:val="222222"/>
        <w:shd w:val="clear" w:color="auto" w:fill="FFFFFF"/>
      </w:rPr>
      <w:tab/>
    </w:r>
    <w:r w:rsidR="002540AE" w:rsidRPr="00D71ECA">
      <w:rPr>
        <w:rFonts w:ascii="Times New Roman" w:hAnsi="Times New Roman" w:cs="Times New Roman"/>
      </w:rPr>
      <w:fldChar w:fldCharType="begin"/>
    </w:r>
    <w:r w:rsidRPr="00D71ECA">
      <w:rPr>
        <w:rFonts w:ascii="Times New Roman" w:hAnsi="Times New Roman" w:cs="Times New Roman"/>
      </w:rPr>
      <w:instrText xml:space="preserve"> PAGE   \* MERGEFORMAT </w:instrText>
    </w:r>
    <w:r w:rsidR="002540AE" w:rsidRPr="00D71ECA">
      <w:rPr>
        <w:rFonts w:ascii="Times New Roman" w:hAnsi="Times New Roman" w:cs="Times New Roman"/>
      </w:rPr>
      <w:fldChar w:fldCharType="separate"/>
    </w:r>
    <w:r w:rsidR="000F1929">
      <w:rPr>
        <w:rFonts w:ascii="Times New Roman" w:hAnsi="Times New Roman" w:cs="Times New Roman"/>
        <w:noProof/>
      </w:rPr>
      <w:t>1</w:t>
    </w:r>
    <w:r w:rsidR="002540AE" w:rsidRPr="00D71ECA">
      <w:rPr>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0F1929"/>
    <w:rsid w:val="00106F9B"/>
    <w:rsid w:val="001115AF"/>
    <w:rsid w:val="00111D49"/>
    <w:rsid w:val="00140D3E"/>
    <w:rsid w:val="00144CC8"/>
    <w:rsid w:val="00146D5F"/>
    <w:rsid w:val="0019128B"/>
    <w:rsid w:val="00192BF3"/>
    <w:rsid w:val="001B55F5"/>
    <w:rsid w:val="001C5B66"/>
    <w:rsid w:val="001D181E"/>
    <w:rsid w:val="001D29F6"/>
    <w:rsid w:val="001D3948"/>
    <w:rsid w:val="001D6702"/>
    <w:rsid w:val="001D6B46"/>
    <w:rsid w:val="001E3C0B"/>
    <w:rsid w:val="00205C66"/>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17D8A"/>
    <w:rsid w:val="00620CA1"/>
    <w:rsid w:val="0063766C"/>
    <w:rsid w:val="006625DE"/>
    <w:rsid w:val="00671C39"/>
    <w:rsid w:val="00676499"/>
    <w:rsid w:val="0068416D"/>
    <w:rsid w:val="00690410"/>
    <w:rsid w:val="00695D4B"/>
    <w:rsid w:val="006A4F27"/>
    <w:rsid w:val="006B1D4E"/>
    <w:rsid w:val="006B3340"/>
    <w:rsid w:val="006C5B93"/>
    <w:rsid w:val="006D0D13"/>
    <w:rsid w:val="006D7690"/>
    <w:rsid w:val="006E16C8"/>
    <w:rsid w:val="006E5560"/>
    <w:rsid w:val="006E6300"/>
    <w:rsid w:val="006F0CAA"/>
    <w:rsid w:val="006F3F78"/>
    <w:rsid w:val="006F41FC"/>
    <w:rsid w:val="007079EA"/>
    <w:rsid w:val="00712AE0"/>
    <w:rsid w:val="007232ED"/>
    <w:rsid w:val="0072527A"/>
    <w:rsid w:val="007270A3"/>
    <w:rsid w:val="00752D42"/>
    <w:rsid w:val="0077655D"/>
    <w:rsid w:val="00776733"/>
    <w:rsid w:val="00792DF9"/>
    <w:rsid w:val="007D6BCF"/>
    <w:rsid w:val="007D6DC5"/>
    <w:rsid w:val="007E4866"/>
    <w:rsid w:val="007E5D38"/>
    <w:rsid w:val="007F4F3A"/>
    <w:rsid w:val="00836352"/>
    <w:rsid w:val="00850FE5"/>
    <w:rsid w:val="008523FE"/>
    <w:rsid w:val="00860C12"/>
    <w:rsid w:val="008646BD"/>
    <w:rsid w:val="0087019F"/>
    <w:rsid w:val="00877004"/>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A3F"/>
    <w:rsid w:val="009478C8"/>
    <w:rsid w:val="00955F03"/>
    <w:rsid w:val="009560DB"/>
    <w:rsid w:val="00960273"/>
    <w:rsid w:val="00970E83"/>
    <w:rsid w:val="0097726B"/>
    <w:rsid w:val="009977FC"/>
    <w:rsid w:val="009A16A5"/>
    <w:rsid w:val="009A4C6F"/>
    <w:rsid w:val="009C329E"/>
    <w:rsid w:val="009C4A6F"/>
    <w:rsid w:val="009E2386"/>
    <w:rsid w:val="009F4317"/>
    <w:rsid w:val="00A1457E"/>
    <w:rsid w:val="00A32974"/>
    <w:rsid w:val="00A34506"/>
    <w:rsid w:val="00A43878"/>
    <w:rsid w:val="00A4669F"/>
    <w:rsid w:val="00A50D6D"/>
    <w:rsid w:val="00A55B56"/>
    <w:rsid w:val="00A8252F"/>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64389"/>
    <w:rsid w:val="00B73084"/>
    <w:rsid w:val="00BB1910"/>
    <w:rsid w:val="00BB48CF"/>
    <w:rsid w:val="00BC3EDC"/>
    <w:rsid w:val="00BD6E4C"/>
    <w:rsid w:val="00BE1268"/>
    <w:rsid w:val="00C1121D"/>
    <w:rsid w:val="00C317C5"/>
    <w:rsid w:val="00C3236A"/>
    <w:rsid w:val="00C35B4A"/>
    <w:rsid w:val="00C36742"/>
    <w:rsid w:val="00C44608"/>
    <w:rsid w:val="00C96326"/>
    <w:rsid w:val="00CA5DAB"/>
    <w:rsid w:val="00CB2CA2"/>
    <w:rsid w:val="00CB3CB8"/>
    <w:rsid w:val="00CC10E7"/>
    <w:rsid w:val="00CD2278"/>
    <w:rsid w:val="00CD734F"/>
    <w:rsid w:val="00CF0A79"/>
    <w:rsid w:val="00D17A76"/>
    <w:rsid w:val="00D3003F"/>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61DD4"/>
    <w:rsid w:val="00E84A92"/>
    <w:rsid w:val="00E91E2E"/>
    <w:rsid w:val="00EB1BF7"/>
    <w:rsid w:val="00EB36EC"/>
    <w:rsid w:val="00EB7C42"/>
    <w:rsid w:val="00EC55C1"/>
    <w:rsid w:val="00ED0D54"/>
    <w:rsid w:val="00EE0CEB"/>
    <w:rsid w:val="00EF12A2"/>
    <w:rsid w:val="00F20864"/>
    <w:rsid w:val="00F340E6"/>
    <w:rsid w:val="00F47324"/>
    <w:rsid w:val="00F619F7"/>
    <w:rsid w:val="00F84CB9"/>
    <w:rsid w:val="00F86B2C"/>
    <w:rsid w:val="00F87620"/>
    <w:rsid w:val="00F93000"/>
    <w:rsid w:val="00F96FD5"/>
    <w:rsid w:val="00FA5860"/>
    <w:rsid w:val="00FE1576"/>
    <w:rsid w:val="00FF612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 w:type="paragraph" w:customStyle="1" w:styleId="BodyA">
    <w:name w:val="Body A"/>
    <w:rsid w:val="00E61DD4"/>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customStyle="1" w:styleId="None">
    <w:name w:val="None"/>
    <w:rsid w:val="00E61DD4"/>
  </w:style>
  <w:style w:type="character" w:customStyle="1" w:styleId="Hyperlink1">
    <w:name w:val="Hyperlink.1"/>
    <w:basedOn w:val="None"/>
    <w:rsid w:val="00E61DD4"/>
    <w:rPr>
      <w:color w:val="0563C1"/>
      <w:u w:val="single" w:color="0563C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ezproxy.libraries.wright.edu/10.1177/1321103X14528456" TargetMode="External"/><Relationship Id="rId13" Type="http://schemas.openxmlformats.org/officeDocument/2006/relationships/hyperlink" Target="http://dx.doi.org.ezproxy.libraries.wright.edu/10.1007/s10857-015-9336-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aj-org.ezproxy.libraries.wright.edu/article/1790e52a8b064843acc34d2a4eb73e2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zproxy.libraries.wright.edu/login?url=https://search.ebscohost.com/login.aspx?direct=true&amp;db=cat01902a&amp;AN=wsu.b4146111&amp;site=eds-liv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dx.doi.org.ezproxy.libraries.wright.edu/10.1007/s10857-015-9336-5" TargetMode="External"/><Relationship Id="rId4" Type="http://schemas.openxmlformats.org/officeDocument/2006/relationships/settings" Target="settings.xml"/><Relationship Id="rId9" Type="http://schemas.openxmlformats.org/officeDocument/2006/relationships/hyperlink" Target="http://ezproxy.libraries.wright.edu/login?url=https://search.ebscohost.com/login.aspx?direct=true&amp;db=cat01902a&amp;AN=wsu.b4146111&amp;site=eds-liv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1</b:RefOrder>
  </b:Source>
</b:Sources>
</file>

<file path=customXml/itemProps1.xml><?xml version="1.0" encoding="utf-8"?>
<ds:datastoreItem xmlns:ds="http://schemas.openxmlformats.org/officeDocument/2006/customXml" ds:itemID="{ED75A706-D50F-4744-9C64-077E3567C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1001</Words>
  <Characters>5708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2018-11-05T12:54:00Z</dcterms:created>
  <dcterms:modified xsi:type="dcterms:W3CDTF">2018-11-05T12:54:00Z</dcterms:modified>
</cp:coreProperties>
</file>